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46FE" w14:textId="430C5E0F" w:rsidR="00F94A1C" w:rsidRPr="00F94A1C" w:rsidRDefault="00F94A1C" w:rsidP="00F94A1C">
      <w:pPr>
        <w:pStyle w:val="Heading2"/>
      </w:pPr>
      <w:r w:rsidRPr="00F94A1C">
        <w:t xml:space="preserve">Teams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94A1C" w14:paraId="0F6DF50C" w14:textId="77777777" w:rsidTr="00F94A1C">
        <w:tc>
          <w:tcPr>
            <w:tcW w:w="1803" w:type="dxa"/>
            <w:shd w:val="clear" w:color="auto" w:fill="005454"/>
            <w:vAlign w:val="center"/>
          </w:tcPr>
          <w:p w14:paraId="0CC960EC" w14:textId="6D3810D8" w:rsidR="00F94A1C" w:rsidRPr="00F94A1C" w:rsidRDefault="00F94A1C" w:rsidP="00F94A1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4A1C">
              <w:rPr>
                <w:b/>
                <w:bCs/>
                <w:color w:val="FFFFFF" w:themeColor="background1"/>
                <w:sz w:val="24"/>
                <w:szCs w:val="24"/>
              </w:rPr>
              <w:t>Team A</w:t>
            </w:r>
          </w:p>
        </w:tc>
        <w:tc>
          <w:tcPr>
            <w:tcW w:w="1803" w:type="dxa"/>
            <w:shd w:val="clear" w:color="auto" w:fill="005454"/>
            <w:vAlign w:val="center"/>
          </w:tcPr>
          <w:p w14:paraId="2497E30D" w14:textId="1E3E3D08" w:rsidR="00F94A1C" w:rsidRPr="00F94A1C" w:rsidRDefault="00F94A1C" w:rsidP="00F94A1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4A1C">
              <w:rPr>
                <w:b/>
                <w:bCs/>
                <w:color w:val="FFFFFF" w:themeColor="background1"/>
                <w:sz w:val="24"/>
                <w:szCs w:val="24"/>
              </w:rPr>
              <w:t>Team B</w:t>
            </w:r>
          </w:p>
        </w:tc>
        <w:tc>
          <w:tcPr>
            <w:tcW w:w="1803" w:type="dxa"/>
            <w:shd w:val="clear" w:color="auto" w:fill="005454"/>
            <w:vAlign w:val="center"/>
          </w:tcPr>
          <w:p w14:paraId="71EE2EBB" w14:textId="738F217C" w:rsidR="00F94A1C" w:rsidRPr="00F94A1C" w:rsidRDefault="00F94A1C" w:rsidP="00F94A1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4A1C">
              <w:rPr>
                <w:b/>
                <w:bCs/>
                <w:color w:val="FFFFFF" w:themeColor="background1"/>
                <w:sz w:val="24"/>
                <w:szCs w:val="24"/>
              </w:rPr>
              <w:t>Team C</w:t>
            </w:r>
          </w:p>
        </w:tc>
        <w:tc>
          <w:tcPr>
            <w:tcW w:w="1803" w:type="dxa"/>
            <w:shd w:val="clear" w:color="auto" w:fill="005454"/>
            <w:vAlign w:val="center"/>
          </w:tcPr>
          <w:p w14:paraId="5983A0F0" w14:textId="612CE361" w:rsidR="00F94A1C" w:rsidRPr="00F94A1C" w:rsidRDefault="00F94A1C" w:rsidP="00F94A1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4A1C">
              <w:rPr>
                <w:b/>
                <w:bCs/>
                <w:color w:val="FFFFFF" w:themeColor="background1"/>
                <w:sz w:val="24"/>
                <w:szCs w:val="24"/>
              </w:rPr>
              <w:t>Team D</w:t>
            </w:r>
          </w:p>
        </w:tc>
        <w:tc>
          <w:tcPr>
            <w:tcW w:w="1804" w:type="dxa"/>
            <w:shd w:val="clear" w:color="auto" w:fill="005454"/>
            <w:vAlign w:val="center"/>
          </w:tcPr>
          <w:p w14:paraId="29C1EB55" w14:textId="40ACDFA4" w:rsidR="00F94A1C" w:rsidRPr="00F94A1C" w:rsidRDefault="00F94A1C" w:rsidP="00F94A1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4A1C">
              <w:rPr>
                <w:b/>
                <w:bCs/>
                <w:color w:val="FFFFFF" w:themeColor="background1"/>
                <w:sz w:val="24"/>
                <w:szCs w:val="24"/>
              </w:rPr>
              <w:t>Team E</w:t>
            </w:r>
          </w:p>
        </w:tc>
      </w:tr>
      <w:tr w:rsidR="00F94A1C" w14:paraId="7A12C5D2" w14:textId="77777777" w:rsidTr="0060724A">
        <w:tc>
          <w:tcPr>
            <w:tcW w:w="1803" w:type="dxa"/>
            <w:vAlign w:val="center"/>
          </w:tcPr>
          <w:p w14:paraId="085E86AF" w14:textId="746F1072" w:rsidR="00F94A1C" w:rsidRPr="00EE473E" w:rsidRDefault="00F94A1C" w:rsidP="00607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#1</w:t>
            </w:r>
          </w:p>
        </w:tc>
        <w:tc>
          <w:tcPr>
            <w:tcW w:w="1803" w:type="dxa"/>
            <w:vAlign w:val="center"/>
          </w:tcPr>
          <w:p w14:paraId="2D619954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443F65F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E4F5F99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6133631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7B951265" w14:textId="77777777" w:rsidTr="0060724A">
        <w:tc>
          <w:tcPr>
            <w:tcW w:w="1803" w:type="dxa"/>
            <w:vAlign w:val="center"/>
          </w:tcPr>
          <w:p w14:paraId="3D3C0931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339790A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EE53F1D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BB30425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DB2B34A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5DA7BA71" w14:textId="77777777" w:rsidTr="0060724A">
        <w:tc>
          <w:tcPr>
            <w:tcW w:w="1803" w:type="dxa"/>
            <w:vAlign w:val="center"/>
          </w:tcPr>
          <w:p w14:paraId="20EF97EB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2A3C327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F826C2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97C3530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3D11599D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664B948A" w14:textId="77777777" w:rsidTr="0060724A">
        <w:tc>
          <w:tcPr>
            <w:tcW w:w="1803" w:type="dxa"/>
            <w:vAlign w:val="center"/>
          </w:tcPr>
          <w:p w14:paraId="06A87C29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8AFF515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159E55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0C03C15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9CDC6AB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0F5F1B3B" w14:textId="77777777" w:rsidTr="0060724A">
        <w:tc>
          <w:tcPr>
            <w:tcW w:w="1803" w:type="dxa"/>
            <w:vAlign w:val="center"/>
          </w:tcPr>
          <w:p w14:paraId="7C8E6D3D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F01A7B4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D8BAFFB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2EB194E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036BF8B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6A958DE7" w14:textId="77777777" w:rsidTr="0060724A">
        <w:tc>
          <w:tcPr>
            <w:tcW w:w="1803" w:type="dxa"/>
            <w:vAlign w:val="center"/>
          </w:tcPr>
          <w:p w14:paraId="4EA450D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0BE40F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DCF1D0B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D9A1C9E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C48A95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0AA18A90" w14:textId="77777777" w:rsidTr="0060724A">
        <w:tc>
          <w:tcPr>
            <w:tcW w:w="1803" w:type="dxa"/>
            <w:vAlign w:val="center"/>
          </w:tcPr>
          <w:p w14:paraId="0671B734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38E0907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AFD21CB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C0630D4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48C04D1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  <w:tr w:rsidR="00F94A1C" w14:paraId="2EE71715" w14:textId="77777777" w:rsidTr="0060724A">
        <w:tc>
          <w:tcPr>
            <w:tcW w:w="1803" w:type="dxa"/>
            <w:vAlign w:val="center"/>
          </w:tcPr>
          <w:p w14:paraId="724D7879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113A2B6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955D133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C47440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509AAB8" w14:textId="77777777" w:rsidR="00F94A1C" w:rsidRPr="00EE473E" w:rsidRDefault="00F94A1C" w:rsidP="0060724A">
            <w:pPr>
              <w:rPr>
                <w:sz w:val="20"/>
                <w:szCs w:val="20"/>
              </w:rPr>
            </w:pPr>
          </w:p>
        </w:tc>
      </w:tr>
    </w:tbl>
    <w:p w14:paraId="1CC8ADAA" w14:textId="77777777" w:rsidR="00F94A1C" w:rsidRDefault="00F94A1C" w:rsidP="00F94A1C">
      <w:pPr>
        <w:pStyle w:val="Heading2"/>
      </w:pPr>
    </w:p>
    <w:p w14:paraId="726D49FB" w14:textId="7AF17955" w:rsidR="00F94A1C" w:rsidRPr="00C35A1C" w:rsidRDefault="00F94A1C" w:rsidP="00F94A1C">
      <w:pPr>
        <w:pStyle w:val="Heading2"/>
      </w:pPr>
      <w:r>
        <w:t>Actions, ratings and verification</w:t>
      </w:r>
    </w:p>
    <w:tbl>
      <w:tblPr>
        <w:tblW w:w="90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59"/>
        <w:gridCol w:w="855"/>
        <w:gridCol w:w="2253"/>
      </w:tblGrid>
      <w:tr w:rsidR="00F94A1C" w:rsidRPr="00E811B8" w14:paraId="0055316C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54"/>
            <w:hideMark/>
          </w:tcPr>
          <w:p w14:paraId="65BC1BB7" w14:textId="77777777" w:rsidR="00F94A1C" w:rsidRPr="00F94A1C" w:rsidRDefault="00F94A1C" w:rsidP="0060724A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bookmarkStart w:id="0" w:name="Sheet3!A1:C21"/>
            <w:r w:rsidRPr="00F94A1C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Action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54"/>
            <w:hideMark/>
          </w:tcPr>
          <w:p w14:paraId="7C802D4B" w14:textId="77777777" w:rsidR="00F94A1C" w:rsidRPr="00F94A1C" w:rsidRDefault="00F94A1C" w:rsidP="0060724A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F94A1C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Green Rating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54"/>
            <w:hideMark/>
          </w:tcPr>
          <w:p w14:paraId="5C569313" w14:textId="77777777" w:rsidR="00F94A1C" w:rsidRPr="00F94A1C" w:rsidRDefault="00F94A1C" w:rsidP="0060724A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F94A1C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Verification requirement</w:t>
            </w:r>
          </w:p>
        </w:tc>
      </w:tr>
      <w:tr w:rsidR="00F94A1C" w:rsidRPr="00E811B8" w14:paraId="079C438B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B6D4" w14:textId="77777777" w:rsidR="00F94A1C" w:rsidRPr="00C0511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1A - </w:t>
            </w:r>
            <w:r w:rsidRPr="00C0511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Wear a fully thrifted outfit (accessories, shoes, socks and undies not necessary!)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or donate clothes and items.</w:t>
            </w:r>
          </w:p>
          <w:p w14:paraId="7653BE80" w14:textId="77777777" w:rsid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Includes clothes that you’ve been given. </w:t>
            </w:r>
          </w:p>
          <w:p w14:paraId="05C03AC6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Can’t count the ‘whole team day’ as your individual day.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8496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A5358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12FD56A0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E69E" w14:textId="77777777" w:rsidR="00F94A1C" w:rsidRPr="00C0511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1B - </w:t>
            </w:r>
            <w:r w:rsidRPr="00C0511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Cook a meal by ‘shopping the pantry and the fridge’ and/or using imperfect produce.</w:t>
            </w:r>
          </w:p>
          <w:p w14:paraId="45B6FAF0" w14:textId="55B45CCF" w:rsidR="00F94A1C" w:rsidRPr="00A82B5E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A82B5E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Note: There are many services where you can buy a box of ‘imperfect’ produce that supermarket chains have refused to accept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, such as Good and Fugly boxes.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A43A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1326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0A84A667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E5FC" w14:textId="035960B2" w:rsidR="00F94A1C" w:rsidRPr="00C0511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2A - </w:t>
            </w:r>
            <w:r w:rsidRPr="00C0511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Buy produce from a local farmer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</w:t>
            </w:r>
            <w:r w:rsidRPr="00C0511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market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AE52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34FE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Receipt or picture</w:t>
            </w:r>
          </w:p>
        </w:tc>
      </w:tr>
      <w:tr w:rsidR="00F94A1C" w:rsidRPr="00E811B8" w14:paraId="76D05DCE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84C1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2B - No buying plastic containers, disposable coffee cups or using plastic bags for supermarket produce for a week.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9098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DEB4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evidence - Trust</w:t>
            </w:r>
          </w:p>
        </w:tc>
      </w:tr>
      <w:tr w:rsidR="00F94A1C" w:rsidRPr="00E811B8" w14:paraId="543A1BF6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8D71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2C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Don't buy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or accept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new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(plastic)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shopping bags for a month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E736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0789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evidence - Trust</w:t>
            </w:r>
          </w:p>
        </w:tc>
      </w:tr>
      <w:tr w:rsidR="00F94A1C" w:rsidRPr="00E811B8" w14:paraId="11DC95AB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9CAF" w14:textId="77777777" w:rsid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2D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Get out in nature / nature-based activity 3 times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in the month.</w:t>
            </w:r>
          </w:p>
          <w:p w14:paraId="0D3ACA22" w14:textId="0B589DD4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Think about something that would get you in a different natural environment compared to what you would do in a standard week (e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.g.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walking your dog down the street wouldn’t count, but maybe driving to Mount Coot-tha and doing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 hike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would).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24B0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3F78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2D952F1B" w14:textId="77777777" w:rsidTr="00F94A1C">
        <w:trPr>
          <w:trHeight w:val="47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8801" w14:textId="1FCA199D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2E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Watch / read / listen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to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new sustainable content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61C2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2FAF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Post it note with your name and recommendation on the whiteboard</w:t>
            </w:r>
          </w:p>
        </w:tc>
      </w:tr>
      <w:tr w:rsidR="00F94A1C" w:rsidRPr="00E811B8" w14:paraId="4CAEE80A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CF32D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2F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red-meat week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 (see action 4C for more info).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F36A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2331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evidence - Trust</w:t>
            </w:r>
          </w:p>
        </w:tc>
      </w:tr>
      <w:tr w:rsidR="00F94A1C" w:rsidRPr="00E811B8" w14:paraId="2C365D83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AE48" w14:textId="486F7FF8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3A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Replace 3 regular car trips with active travel or public transport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(for example, the local shopping centre, to the gym, to the parents house. Can be the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same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route but three different times).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FA85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6541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77747742" w14:textId="77777777" w:rsidTr="00F94A1C">
        <w:trPr>
          <w:trHeight w:val="35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22F0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3B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Take 4-minute (or shorter) showers for a month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1B70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981D" w14:textId="788D21BB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evidence - Trust</w:t>
            </w:r>
          </w:p>
        </w:tc>
      </w:tr>
      <w:tr w:rsidR="00F94A1C" w:rsidRPr="00E811B8" w14:paraId="49C94E52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204D" w14:textId="20BB0729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3C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Plant and grow your own produce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to eat. Don’t have to grow it to maturity and eat it in that month. Just plant it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and get watering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1797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F219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7D930F49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4BED" w14:textId="3FCD053E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4A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Collect and dispose of containers to CoEx - max one receipt per person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B42B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8CD7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 or receipt</w:t>
            </w:r>
          </w:p>
        </w:tc>
      </w:tr>
      <w:tr w:rsidR="00F94A1C" w:rsidRPr="00E811B8" w14:paraId="1E21B85D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550A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4B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Repair something instead of throwing it away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(can be clothing, furniture, electronics etc.).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1B4D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3B6E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6D2C5065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939E" w14:textId="77777777" w:rsid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lastRenderedPageBreak/>
              <w:t xml:space="preserve">4C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meat week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</w:t>
            </w:r>
          </w:p>
          <w:p w14:paraId="40EDC0FB" w14:textId="19E445D9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If you do both this and the no red meat week, they have to be separate weeks.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you can’t do this action and then also count the no red meat week at the same time.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39F1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CDCF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evidence - Trust</w:t>
            </w:r>
          </w:p>
        </w:tc>
      </w:tr>
      <w:tr w:rsidR="00F94A1C" w:rsidRPr="00E811B8" w14:paraId="079D3179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167F" w14:textId="77777777" w:rsid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5A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Whole team second hand/thrifted clothing day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or donate.</w:t>
            </w:r>
          </w:p>
          <w:p w14:paraId="3C0CDDE1" w14:textId="3C454C57" w:rsid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If you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r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whole team can wear a thrifted outfit on one day, great! If they can’t, then your whole team has to donate clothes or wear a thrifted outfit to work.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Donation day doesn’t have to be the same as wearing day in this instance.</w:t>
            </w:r>
          </w:p>
          <w:p w14:paraId="54A8CF1D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For team members wearing thrifted clothes, you have to do it twice to get action 5A and 1A.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6539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25CF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08DF6E51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9612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5B - No buying plastic containers, disposable coffee cups or plastic bags for supermarket vegetables for a month.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0356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C912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evidence - Trust</w:t>
            </w:r>
          </w:p>
        </w:tc>
      </w:tr>
      <w:tr w:rsidR="00F94A1C" w:rsidRPr="00E811B8" w14:paraId="048912A4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C46E" w14:textId="77777777" w:rsidR="00F94A1C" w:rsidRP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</w:pPr>
            <w:r w:rsidRPr="009B7BF5"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  <w:t xml:space="preserve">5C - Switch to renewable energy. This would be switching to a 100% </w:t>
            </w:r>
            <w:r w:rsidRPr="00F94A1C"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  <w:t xml:space="preserve">GreenPower energy plan from your electricity retailer or signing up to install solar within the month. </w:t>
            </w:r>
          </w:p>
          <w:p w14:paraId="1F57BA35" w14:textId="5BCF396A" w:rsidR="00F94A1C" w:rsidRPr="00F94A1C" w:rsidRDefault="00F94A1C" w:rsidP="0060724A">
            <w:pPr>
              <w:spacing w:before="0" w:after="0" w:line="240" w:lineRule="auto"/>
              <w:contextualSpacing w:val="0"/>
              <w:rPr>
                <w:color w:val="auto"/>
                <w:sz w:val="20"/>
                <w:szCs w:val="20"/>
              </w:rPr>
            </w:pPr>
            <w:r w:rsidRPr="00F94A1C">
              <w:rPr>
                <w:color w:val="auto"/>
                <w:sz w:val="20"/>
                <w:szCs w:val="20"/>
              </w:rPr>
              <w:t>If you already have solar this doesn’t count, you can purchase GreenPower energy to cancel out the fossil-fuel-based energy that your household consumes from the grid in the evenings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038F3BAE" w14:textId="6C68C928" w:rsidR="00F94A1C" w:rsidRPr="009B7BF5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</w:pPr>
            <w:hyperlink r:id="rId6" w:history="1">
              <w:r>
                <w:rPr>
                  <w:rStyle w:val="Hyperlink"/>
                  <w:rFonts w:eastAsia="Times New Roman" w:cs="Calibri"/>
                  <w:color w:val="auto"/>
                  <w:sz w:val="20"/>
                  <w:szCs w:val="20"/>
                  <w:lang w:eastAsia="en-AU"/>
                </w:rPr>
                <w:t>R</w:t>
              </w:r>
              <w:r w:rsidRPr="00F94A1C">
                <w:rPr>
                  <w:rStyle w:val="Hyperlink"/>
                  <w:rFonts w:eastAsia="Times New Roman" w:cs="Calibri"/>
                  <w:color w:val="auto"/>
                  <w:lang w:eastAsia="en-AU"/>
                </w:rPr>
                <w:t>ead m</w:t>
              </w:r>
              <w:r w:rsidRPr="00F94A1C">
                <w:rPr>
                  <w:rStyle w:val="Hyperlink"/>
                  <w:rFonts w:eastAsia="Times New Roman" w:cs="Calibri"/>
                  <w:color w:val="auto"/>
                  <w:sz w:val="20"/>
                  <w:szCs w:val="20"/>
                  <w:lang w:eastAsia="en-AU"/>
                </w:rPr>
                <w:t>ore information on GreenPower here</w:t>
              </w:r>
            </w:hyperlink>
            <w:r w:rsidRPr="009B7BF5"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2D12" w14:textId="77777777" w:rsidR="00F94A1C" w:rsidRPr="009B7BF5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</w:pPr>
            <w:r w:rsidRPr="009B7BF5"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E17B" w14:textId="77777777" w:rsidR="00F94A1C" w:rsidRPr="009B7BF5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</w:pPr>
            <w:r w:rsidRPr="009B7BF5">
              <w:rPr>
                <w:rFonts w:eastAsia="Times New Roman" w:cs="Calibri"/>
                <w:color w:val="auto"/>
                <w:sz w:val="20"/>
                <w:szCs w:val="20"/>
                <w:lang w:eastAsia="en-AU"/>
              </w:rPr>
              <w:t xml:space="preserve">Screenshot of phone call or receipt </w:t>
            </w:r>
          </w:p>
        </w:tc>
      </w:tr>
      <w:tr w:rsidR="00F94A1C" w:rsidRPr="00E811B8" w14:paraId="011DF4AD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C0B9" w14:textId="0AF9F43A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5D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Whole team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has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no takeout lunch for the week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A33F4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7DAB4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 or trust</w:t>
            </w:r>
          </w:p>
        </w:tc>
      </w:tr>
      <w:tr w:rsidR="00F94A1C" w:rsidRPr="00E811B8" w14:paraId="33B21067" w14:textId="77777777" w:rsidTr="00F94A1C">
        <w:trPr>
          <w:trHeight w:val="23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36AF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5E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Go to a sustainab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ility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event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 I.e. an event that promotes sustainability values, ideas and industries.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D5D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3C7C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  <w:tr w:rsidR="00F94A1C" w:rsidRPr="00E811B8" w14:paraId="6B66FD34" w14:textId="77777777" w:rsidTr="00F94A1C">
        <w:trPr>
          <w:trHeight w:val="4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1177" w14:textId="321B0FBE" w:rsidR="00F94A1C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5F - </w:t>
            </w: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Buy and start a composting system at home (or a second one)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.</w:t>
            </w:r>
          </w:p>
          <w:p w14:paraId="22A6D81A" w14:textId="1939544D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If you can’t upgrade or get another compost bin, you can still get a point by convincing a family member or friend to start composting. No picture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is needed for this, but they need to start in the month and not just tell you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they will do it.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1710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B4CC" w14:textId="77777777" w:rsidR="00F94A1C" w:rsidRPr="00E811B8" w:rsidRDefault="00F94A1C" w:rsidP="0060724A">
            <w:pPr>
              <w:spacing w:before="0" w:after="0" w:line="240" w:lineRule="auto"/>
              <w:contextualSpacing w:val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811B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Picture</w:t>
            </w:r>
          </w:p>
        </w:tc>
      </w:tr>
    </w:tbl>
    <w:p w14:paraId="690CA0E9" w14:textId="77777777" w:rsidR="00F94A1C" w:rsidRPr="004C4B8B" w:rsidRDefault="00F94A1C" w:rsidP="00F94A1C">
      <w:r w:rsidRPr="004C4B8B">
        <w:t xml:space="preserve"> </w:t>
      </w:r>
    </w:p>
    <w:p w14:paraId="243FD579" w14:textId="77777777" w:rsidR="00F94A1C" w:rsidRDefault="00F94A1C"/>
    <w:sectPr w:rsidR="00F94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8F6" w14:textId="77777777" w:rsidR="00F94A1C" w:rsidRDefault="00F94A1C" w:rsidP="00F94A1C">
      <w:pPr>
        <w:spacing w:before="0" w:after="0" w:line="240" w:lineRule="auto"/>
      </w:pPr>
      <w:r>
        <w:separator/>
      </w:r>
    </w:p>
  </w:endnote>
  <w:endnote w:type="continuationSeparator" w:id="0">
    <w:p w14:paraId="1DEF7494" w14:textId="77777777" w:rsidR="00F94A1C" w:rsidRDefault="00F94A1C" w:rsidP="00F94A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14F5" w14:textId="77777777" w:rsidR="00F94A1C" w:rsidRDefault="00F94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CC73" w14:textId="77777777" w:rsidR="00F94A1C" w:rsidRDefault="00F94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E873" w14:textId="77777777" w:rsidR="00F94A1C" w:rsidRDefault="00F94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C897" w14:textId="77777777" w:rsidR="00F94A1C" w:rsidRDefault="00F94A1C" w:rsidP="00F94A1C">
      <w:pPr>
        <w:spacing w:before="0" w:after="0" w:line="240" w:lineRule="auto"/>
      </w:pPr>
      <w:r>
        <w:separator/>
      </w:r>
    </w:p>
  </w:footnote>
  <w:footnote w:type="continuationSeparator" w:id="0">
    <w:p w14:paraId="373E5FCC" w14:textId="77777777" w:rsidR="00F94A1C" w:rsidRDefault="00F94A1C" w:rsidP="00F94A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D142" w14:textId="77777777" w:rsidR="00F94A1C" w:rsidRDefault="00F94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1AF" w14:textId="65F873A0" w:rsidR="00F94A1C" w:rsidRDefault="00F94A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62519" wp14:editId="42943830">
          <wp:simplePos x="0" y="0"/>
          <wp:positionH relativeFrom="margin">
            <wp:posOffset>4495800</wp:posOffset>
          </wp:positionH>
          <wp:positionV relativeFrom="page">
            <wp:posOffset>381000</wp:posOffset>
          </wp:positionV>
          <wp:extent cx="1210310" cy="346710"/>
          <wp:effectExtent l="0" t="0" r="889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Green Games – Sustainable Living Actions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3DC7" w14:textId="77777777" w:rsidR="00F94A1C" w:rsidRDefault="00F94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NrewNDc3MTUyNjNW0lEKTi0uzszPAykwrAUA+0rNdiwAAAA="/>
  </w:docVars>
  <w:rsids>
    <w:rsidRoot w:val="00F94A1C"/>
    <w:rsid w:val="009423BC"/>
    <w:rsid w:val="00BF3A96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A292"/>
  <w15:chartTrackingRefBased/>
  <w15:docId w15:val="{CC099996-2E5C-4897-8004-BF0024C7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1C"/>
    <w:pPr>
      <w:spacing w:before="120" w:after="120" w:line="240" w:lineRule="atLeast"/>
      <w:contextualSpacing/>
    </w:pPr>
    <w:rPr>
      <w:rFonts w:ascii="Avenir LT Std 45 Book" w:hAnsi="Avenir LT Std 45 Book"/>
      <w:color w:val="272E3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3BC"/>
    <w:pPr>
      <w:keepNext/>
      <w:keepLines/>
      <w:spacing w:before="240" w:after="0" w:line="259" w:lineRule="auto"/>
      <w:contextualSpacing w:val="0"/>
      <w:outlineLvl w:val="0"/>
    </w:pPr>
    <w:rPr>
      <w:rFonts w:asciiTheme="minorHAnsi" w:eastAsiaTheme="majorEastAsia" w:hAnsiTheme="minorHAnsi" w:cstheme="majorBidi"/>
      <w:b/>
      <w:color w:val="0067B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4A1C"/>
    <w:pPr>
      <w:keepNext/>
      <w:keepLines/>
      <w:spacing w:before="40" w:after="0" w:line="259" w:lineRule="auto"/>
      <w:contextualSpacing w:val="0"/>
      <w:outlineLvl w:val="1"/>
    </w:pPr>
    <w:rPr>
      <w:rFonts w:asciiTheme="majorHAnsi" w:eastAsiaTheme="majorEastAsia" w:hAnsiTheme="majorHAnsi" w:cstheme="majorBidi"/>
      <w:b/>
      <w:bCs/>
      <w:i/>
      <w:iCs/>
      <w:color w:val="00545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3BC"/>
    <w:rPr>
      <w:rFonts w:eastAsiaTheme="majorEastAsia" w:cstheme="majorBidi"/>
      <w:b/>
      <w:color w:val="0067B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A1C"/>
    <w:rPr>
      <w:rFonts w:asciiTheme="majorHAnsi" w:eastAsiaTheme="majorEastAsia" w:hAnsiTheme="majorHAnsi" w:cstheme="majorBidi"/>
      <w:b/>
      <w:bCs/>
      <w:i/>
      <w:iCs/>
      <w:color w:val="00545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94A1C"/>
    <w:pPr>
      <w:tabs>
        <w:tab w:val="center" w:pos="4513"/>
        <w:tab w:val="right" w:pos="9026"/>
      </w:tabs>
      <w:spacing w:before="0" w:after="0" w:line="240" w:lineRule="auto"/>
      <w:contextualSpacing w:val="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94A1C"/>
    <w:rPr>
      <w:rFonts w:ascii="Avenir LT Std 45 Book" w:hAnsi="Avenir LT Std 45 Book"/>
    </w:rPr>
  </w:style>
  <w:style w:type="paragraph" w:styleId="Footer">
    <w:name w:val="footer"/>
    <w:basedOn w:val="Normal"/>
    <w:link w:val="FooterChar"/>
    <w:uiPriority w:val="99"/>
    <w:unhideWhenUsed/>
    <w:rsid w:val="00F94A1C"/>
    <w:pPr>
      <w:tabs>
        <w:tab w:val="center" w:pos="4513"/>
        <w:tab w:val="right" w:pos="9026"/>
      </w:tabs>
      <w:spacing w:before="0" w:after="0" w:line="240" w:lineRule="auto"/>
      <w:contextualSpacing w:val="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94A1C"/>
    <w:rPr>
      <w:rFonts w:ascii="Avenir LT Std 45 Book" w:hAnsi="Avenir LT Std 45 Book"/>
    </w:rPr>
  </w:style>
  <w:style w:type="table" w:styleId="TableGrid">
    <w:name w:val="Table Grid"/>
    <w:basedOn w:val="TableNormal"/>
    <w:uiPriority w:val="39"/>
    <w:rsid w:val="00F9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A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4A1C"/>
    <w:pPr>
      <w:spacing w:after="0" w:line="240" w:lineRule="auto"/>
      <w:contextualSpacing/>
    </w:pPr>
    <w:rPr>
      <w:rFonts w:ascii="Avenir LT Std 45 Book" w:hAnsi="Avenir LT Std 45 Book"/>
      <w:color w:val="272E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stainablebrisbane.com.au/one-change-that-can-halve-your-household-carbon-footprin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Mullen</dc:creator>
  <cp:keywords/>
  <dc:description/>
  <cp:lastModifiedBy>Samuel Mullen</cp:lastModifiedBy>
  <cp:revision>1</cp:revision>
  <dcterms:created xsi:type="dcterms:W3CDTF">2023-07-17T03:24:00Z</dcterms:created>
  <dcterms:modified xsi:type="dcterms:W3CDTF">2023-07-17T03:32:00Z</dcterms:modified>
</cp:coreProperties>
</file>